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4DA5" w:rsidRDefault="00574DA5" w:rsidP="00574DA5">
      <w:pPr>
        <w:spacing w:after="120"/>
        <w:rPr>
          <w:b/>
          <w:bCs/>
        </w:rPr>
      </w:pPr>
      <w:r>
        <w:rPr>
          <w:b/>
          <w:bCs/>
        </w:rPr>
        <w:t>Diocesi di Cremona</w:t>
      </w:r>
    </w:p>
    <w:p w:rsidR="00574DA5" w:rsidRPr="005C248E" w:rsidRDefault="00574DA5" w:rsidP="00574DA5">
      <w:pPr>
        <w:spacing w:after="120"/>
        <w:rPr>
          <w:b/>
          <w:bCs/>
          <w:sz w:val="32"/>
          <w:szCs w:val="32"/>
        </w:rPr>
      </w:pPr>
      <w:r w:rsidRPr="005C248E">
        <w:rPr>
          <w:b/>
          <w:bCs/>
          <w:sz w:val="32"/>
          <w:szCs w:val="32"/>
        </w:rPr>
        <w:t>IL GIORNO DELL’ASCOLTO</w:t>
      </w:r>
    </w:p>
    <w:p w:rsidR="00574DA5" w:rsidRPr="007E6BFF" w:rsidRDefault="00574DA5" w:rsidP="00574DA5">
      <w:pPr>
        <w:spacing w:after="120"/>
        <w:rPr>
          <w:b/>
          <w:bCs/>
        </w:rPr>
      </w:pPr>
      <w:r>
        <w:rPr>
          <w:b/>
          <w:bCs/>
        </w:rPr>
        <w:t>Verso la II</w:t>
      </w:r>
      <w:r w:rsidRPr="007E6BFF">
        <w:rPr>
          <w:b/>
          <w:bCs/>
        </w:rPr>
        <w:t xml:space="preserve"> </w:t>
      </w:r>
      <w:r>
        <w:rPr>
          <w:b/>
          <w:bCs/>
        </w:rPr>
        <w:t>d</w:t>
      </w:r>
      <w:r w:rsidRPr="007E6BFF">
        <w:rPr>
          <w:b/>
          <w:bCs/>
        </w:rPr>
        <w:t>om</w:t>
      </w:r>
      <w:r>
        <w:rPr>
          <w:b/>
          <w:bCs/>
        </w:rPr>
        <w:t>enica dopo Natale – anno B (3 gennaio 2021</w:t>
      </w:r>
      <w:r w:rsidRPr="007E6BFF">
        <w:rPr>
          <w:b/>
          <w:bCs/>
        </w:rPr>
        <w:t>)</w:t>
      </w:r>
    </w:p>
    <w:p w:rsidR="00574DA5" w:rsidRPr="00E05DB8" w:rsidRDefault="00574DA5" w:rsidP="00574DA5">
      <w:pPr>
        <w:pStyle w:val="NormaleWeb"/>
        <w:spacing w:after="0"/>
        <w:ind w:right="150"/>
        <w:rPr>
          <w:rFonts w:eastAsia="Times New Roman"/>
          <w:color w:val="000000"/>
          <w:sz w:val="27"/>
          <w:szCs w:val="27"/>
          <w:lang w:eastAsia="it-IT"/>
        </w:rPr>
      </w:pPr>
      <w:r w:rsidRPr="005E0142">
        <w:rPr>
          <w:rFonts w:ascii="Book Antiqua" w:eastAsia="Times New Roman" w:hAnsi="Book Antiqua"/>
          <w:b/>
          <w:bCs/>
          <w:noProof/>
          <w:color w:val="800000"/>
          <w:lang w:eastAsia="it-IT"/>
        </w:rPr>
        <w:drawing>
          <wp:inline distT="0" distB="0" distL="0" distR="0" wp14:anchorId="334BA704" wp14:editId="785300B1">
            <wp:extent cx="219075" cy="171450"/>
            <wp:effectExtent l="0" t="0" r="9525" b="0"/>
            <wp:docPr id="2" name="Immagine 2" descr="https://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ranatha.it/images/crs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E05DB8">
        <w:rPr>
          <w:rFonts w:ascii="Book Antiqua" w:eastAsia="Times New Roman" w:hAnsi="Book Antiqua"/>
          <w:b/>
          <w:bCs/>
          <w:color w:val="800000"/>
          <w:lang w:eastAsia="it-IT"/>
        </w:rPr>
        <w:t xml:space="preserve"> </w:t>
      </w:r>
      <w:proofErr w:type="gramStart"/>
      <w:r w:rsidRPr="00E05DB8">
        <w:rPr>
          <w:rFonts w:ascii="Book Antiqua" w:eastAsia="Times New Roman" w:hAnsi="Book Antiqua"/>
          <w:b/>
          <w:bCs/>
          <w:color w:val="800000"/>
          <w:lang w:eastAsia="it-IT"/>
        </w:rPr>
        <w:t>Vangelo  </w:t>
      </w:r>
      <w:proofErr w:type="spellStart"/>
      <w:r w:rsidRPr="00E05DB8">
        <w:rPr>
          <w:rFonts w:ascii="Book Antiqua" w:eastAsia="Times New Roman" w:hAnsi="Book Antiqua"/>
          <w:color w:val="800000"/>
          <w:lang w:eastAsia="it-IT"/>
        </w:rPr>
        <w:t>Gv</w:t>
      </w:r>
      <w:proofErr w:type="spellEnd"/>
      <w:proofErr w:type="gramEnd"/>
      <w:r w:rsidRPr="00E05DB8">
        <w:rPr>
          <w:rFonts w:ascii="Book Antiqua" w:eastAsia="Times New Roman" w:hAnsi="Book Antiqua"/>
          <w:color w:val="800000"/>
          <w:lang w:eastAsia="it-IT"/>
        </w:rPr>
        <w:t xml:space="preserve"> 1,1-18</w:t>
      </w:r>
      <w:r w:rsidRPr="00E05DB8">
        <w:rPr>
          <w:rFonts w:ascii="Book Antiqua" w:eastAsia="Times New Roman" w:hAnsi="Book Antiqua"/>
          <w:color w:val="FF0000"/>
          <w:lang w:eastAsia="it-IT"/>
        </w:rPr>
        <w:br/>
      </w:r>
    </w:p>
    <w:p w:rsidR="00574DA5" w:rsidRPr="00E05DB8" w:rsidRDefault="00574DA5" w:rsidP="00574DA5">
      <w:pPr>
        <w:spacing w:after="0" w:line="240" w:lineRule="auto"/>
        <w:ind w:right="150"/>
        <w:rPr>
          <w:rFonts w:ascii="Times New Roman" w:eastAsia="Times New Roman" w:hAnsi="Times New Roman" w:cs="Times New Roman"/>
          <w:color w:val="000000"/>
          <w:sz w:val="20"/>
          <w:szCs w:val="20"/>
          <w:lang w:eastAsia="it-IT"/>
        </w:rPr>
      </w:pPr>
      <w:proofErr w:type="gramStart"/>
      <w:r w:rsidRPr="00E05DB8">
        <w:rPr>
          <w:rFonts w:ascii="Book Antiqua" w:eastAsia="Times New Roman" w:hAnsi="Book Antiqua" w:cs="Times New Roman"/>
          <w:b/>
          <w:bCs/>
          <w:color w:val="FF0000"/>
          <w:sz w:val="20"/>
          <w:szCs w:val="20"/>
          <w:lang w:eastAsia="it-IT"/>
        </w:rPr>
        <w:t>[</w:t>
      </w:r>
      <w:r w:rsidRPr="00E05DB8">
        <w:rPr>
          <w:rFonts w:ascii="Book Antiqua" w:eastAsia="Times New Roman" w:hAnsi="Book Antiqua" w:cs="Times New Roman"/>
          <w:color w:val="800000"/>
          <w:sz w:val="20"/>
          <w:szCs w:val="20"/>
          <w:lang w:eastAsia="it-IT"/>
        </w:rPr>
        <w:t> In</w:t>
      </w:r>
      <w:proofErr w:type="gramEnd"/>
      <w:r w:rsidRPr="00E05DB8">
        <w:rPr>
          <w:rFonts w:ascii="Book Antiqua" w:eastAsia="Times New Roman" w:hAnsi="Book Antiqua" w:cs="Times New Roman"/>
          <w:color w:val="800000"/>
          <w:sz w:val="20"/>
          <w:szCs w:val="20"/>
          <w:lang w:eastAsia="it-IT"/>
        </w:rPr>
        <w:t xml:space="preserve"> principio era il Verbo, e il Verbo era presso Dio e il Verbo era Dio.</w:t>
      </w:r>
      <w:r w:rsidRPr="00E05DB8">
        <w:rPr>
          <w:rFonts w:ascii="Book Antiqua" w:eastAsia="Times New Roman" w:hAnsi="Book Antiqua" w:cs="Times New Roman"/>
          <w:color w:val="800000"/>
          <w:sz w:val="20"/>
          <w:szCs w:val="20"/>
          <w:lang w:eastAsia="it-IT"/>
        </w:rPr>
        <w:br/>
        <w:t>Egli era, in principio, presso Dio: tutto è stato fatto per mezzo di lui</w:t>
      </w:r>
      <w:r w:rsidRPr="00E05DB8">
        <w:rPr>
          <w:rFonts w:ascii="Book Antiqua" w:eastAsia="Times New Roman" w:hAnsi="Book Antiqua" w:cs="Times New Roman"/>
          <w:color w:val="800000"/>
          <w:sz w:val="20"/>
          <w:szCs w:val="20"/>
          <w:lang w:eastAsia="it-IT"/>
        </w:rPr>
        <w:br/>
        <w:t>e senza di lui nulla è stato fatto di ciò che esiste.</w:t>
      </w:r>
      <w:r w:rsidRPr="00E05DB8">
        <w:rPr>
          <w:rFonts w:ascii="Book Antiqua" w:eastAsia="Times New Roman" w:hAnsi="Book Antiqua" w:cs="Times New Roman"/>
          <w:color w:val="800000"/>
          <w:sz w:val="20"/>
          <w:szCs w:val="20"/>
          <w:lang w:eastAsia="it-IT"/>
        </w:rPr>
        <w:br/>
        <w:t>In lui era la vita e la vita era la luce degli uomini;</w:t>
      </w:r>
      <w:r w:rsidRPr="00E05DB8">
        <w:rPr>
          <w:rFonts w:ascii="Book Antiqua" w:eastAsia="Times New Roman" w:hAnsi="Book Antiqua" w:cs="Times New Roman"/>
          <w:color w:val="800000"/>
          <w:sz w:val="20"/>
          <w:szCs w:val="20"/>
          <w:lang w:eastAsia="it-IT"/>
        </w:rPr>
        <w:br/>
        <w:t>la luce splende nelle tenebre e le tenebre non l'hanno vinta. </w:t>
      </w:r>
      <w:r w:rsidRPr="00E05DB8">
        <w:rPr>
          <w:rFonts w:ascii="Book Antiqua" w:eastAsia="Times New Roman" w:hAnsi="Book Antiqua" w:cs="Times New Roman"/>
          <w:b/>
          <w:bCs/>
          <w:color w:val="FF0000"/>
          <w:sz w:val="20"/>
          <w:szCs w:val="20"/>
          <w:lang w:eastAsia="it-IT"/>
        </w:rPr>
        <w:t>]</w:t>
      </w:r>
    </w:p>
    <w:p w:rsidR="00574DA5" w:rsidRPr="00E05DB8" w:rsidRDefault="00574DA5" w:rsidP="00574DA5">
      <w:pPr>
        <w:spacing w:after="0" w:line="240" w:lineRule="auto"/>
        <w:ind w:right="150"/>
        <w:rPr>
          <w:rFonts w:ascii="Times New Roman" w:eastAsia="Times New Roman" w:hAnsi="Times New Roman" w:cs="Times New Roman"/>
          <w:color w:val="000000"/>
          <w:sz w:val="20"/>
          <w:szCs w:val="20"/>
          <w:lang w:eastAsia="it-IT"/>
        </w:rPr>
      </w:pPr>
      <w:r w:rsidRPr="00E05DB8">
        <w:rPr>
          <w:rFonts w:ascii="Book Antiqua" w:eastAsia="Times New Roman" w:hAnsi="Book Antiqua" w:cs="Times New Roman"/>
          <w:color w:val="800000"/>
          <w:sz w:val="20"/>
          <w:szCs w:val="20"/>
          <w:lang w:eastAsia="it-IT"/>
        </w:rPr>
        <w:t>Venne un uomo mandato da Dio: il suo nome era Giovanni.</w:t>
      </w:r>
      <w:r w:rsidRPr="00E05DB8">
        <w:rPr>
          <w:rFonts w:ascii="Book Antiqua" w:eastAsia="Times New Roman" w:hAnsi="Book Antiqua" w:cs="Times New Roman"/>
          <w:color w:val="800000"/>
          <w:sz w:val="20"/>
          <w:szCs w:val="20"/>
          <w:lang w:eastAsia="it-IT"/>
        </w:rPr>
        <w:br/>
        <w:t>Egli venne come testimone per dare testimonianza alla luce,</w:t>
      </w:r>
      <w:r w:rsidRPr="00E05DB8">
        <w:rPr>
          <w:rFonts w:ascii="Book Antiqua" w:eastAsia="Times New Roman" w:hAnsi="Book Antiqua" w:cs="Times New Roman"/>
          <w:color w:val="800000"/>
          <w:sz w:val="20"/>
          <w:szCs w:val="20"/>
          <w:lang w:eastAsia="it-IT"/>
        </w:rPr>
        <w:br/>
        <w:t>perché tutti credessero per mezzo di lui.</w:t>
      </w:r>
      <w:r w:rsidRPr="00E05DB8">
        <w:rPr>
          <w:rFonts w:ascii="Book Antiqua" w:eastAsia="Times New Roman" w:hAnsi="Book Antiqua" w:cs="Times New Roman"/>
          <w:color w:val="800000"/>
          <w:sz w:val="20"/>
          <w:szCs w:val="20"/>
          <w:lang w:eastAsia="it-IT"/>
        </w:rPr>
        <w:br/>
        <w:t>Non era lui la luce, ma doveva dare testimonianza alla luce.</w:t>
      </w:r>
    </w:p>
    <w:p w:rsidR="00574DA5" w:rsidRPr="00E05DB8" w:rsidRDefault="00574DA5" w:rsidP="00574DA5">
      <w:pPr>
        <w:spacing w:after="0" w:line="240" w:lineRule="auto"/>
        <w:ind w:right="150"/>
        <w:rPr>
          <w:rFonts w:ascii="Times New Roman" w:eastAsia="Times New Roman" w:hAnsi="Times New Roman" w:cs="Times New Roman"/>
          <w:color w:val="000000"/>
          <w:sz w:val="20"/>
          <w:szCs w:val="20"/>
          <w:lang w:eastAsia="it-IT"/>
        </w:rPr>
      </w:pPr>
      <w:proofErr w:type="gramStart"/>
      <w:r w:rsidRPr="00E05DB8">
        <w:rPr>
          <w:rFonts w:ascii="Book Antiqua" w:eastAsia="Times New Roman" w:hAnsi="Book Antiqua" w:cs="Times New Roman"/>
          <w:b/>
          <w:bCs/>
          <w:color w:val="FF0000"/>
          <w:sz w:val="20"/>
          <w:szCs w:val="20"/>
          <w:lang w:eastAsia="it-IT"/>
        </w:rPr>
        <w:t>[ </w:t>
      </w:r>
      <w:r w:rsidRPr="00E05DB8">
        <w:rPr>
          <w:rFonts w:ascii="Book Antiqua" w:eastAsia="Times New Roman" w:hAnsi="Book Antiqua" w:cs="Times New Roman"/>
          <w:color w:val="800000"/>
          <w:sz w:val="20"/>
          <w:szCs w:val="20"/>
          <w:lang w:eastAsia="it-IT"/>
        </w:rPr>
        <w:t>Veniva</w:t>
      </w:r>
      <w:proofErr w:type="gramEnd"/>
      <w:r w:rsidRPr="00E05DB8">
        <w:rPr>
          <w:rFonts w:ascii="Book Antiqua" w:eastAsia="Times New Roman" w:hAnsi="Book Antiqua" w:cs="Times New Roman"/>
          <w:color w:val="800000"/>
          <w:sz w:val="20"/>
          <w:szCs w:val="20"/>
          <w:lang w:eastAsia="it-IT"/>
        </w:rPr>
        <w:t xml:space="preserve"> nel mondo la luce vera, quella che illumina ogni uomo.</w:t>
      </w:r>
      <w:r w:rsidRPr="00E05DB8">
        <w:rPr>
          <w:rFonts w:ascii="Book Antiqua" w:eastAsia="Times New Roman" w:hAnsi="Book Antiqua" w:cs="Times New Roman"/>
          <w:color w:val="800000"/>
          <w:sz w:val="20"/>
          <w:szCs w:val="20"/>
          <w:lang w:eastAsia="it-IT"/>
        </w:rPr>
        <w:br/>
        <w:t>Era nel mondo e il mondo è stato fatto per mezzo di lui;</w:t>
      </w:r>
      <w:r w:rsidRPr="00E05DB8">
        <w:rPr>
          <w:rFonts w:ascii="Book Antiqua" w:eastAsia="Times New Roman" w:hAnsi="Book Antiqua" w:cs="Times New Roman"/>
          <w:color w:val="800000"/>
          <w:sz w:val="20"/>
          <w:szCs w:val="20"/>
          <w:lang w:eastAsia="it-IT"/>
        </w:rPr>
        <w:br/>
        <w:t>eppure il mondo non lo ha riconosciuto.</w:t>
      </w:r>
      <w:r w:rsidRPr="00E05DB8">
        <w:rPr>
          <w:rFonts w:ascii="Book Antiqua" w:eastAsia="Times New Roman" w:hAnsi="Book Antiqua" w:cs="Times New Roman"/>
          <w:color w:val="800000"/>
          <w:sz w:val="20"/>
          <w:szCs w:val="20"/>
          <w:lang w:eastAsia="it-IT"/>
        </w:rPr>
        <w:br/>
        <w:t>Venne fra i suoi, e i suoi non lo hanno accolto.</w:t>
      </w:r>
      <w:r w:rsidRPr="00E05DB8">
        <w:rPr>
          <w:rFonts w:ascii="Book Antiqua" w:eastAsia="Times New Roman" w:hAnsi="Book Antiqua" w:cs="Times New Roman"/>
          <w:color w:val="800000"/>
          <w:sz w:val="20"/>
          <w:szCs w:val="20"/>
          <w:lang w:eastAsia="it-IT"/>
        </w:rPr>
        <w:br/>
        <w:t>A quanti però lo hanno accolto ha dato potere di diventare figli di Dio:</w:t>
      </w:r>
      <w:r w:rsidRPr="00E05DB8">
        <w:rPr>
          <w:rFonts w:ascii="Book Antiqua" w:eastAsia="Times New Roman" w:hAnsi="Book Antiqua" w:cs="Times New Roman"/>
          <w:color w:val="800000"/>
          <w:sz w:val="20"/>
          <w:szCs w:val="20"/>
          <w:lang w:eastAsia="it-IT"/>
        </w:rPr>
        <w:br/>
        <w:t>a quelli che credono nel suo nome, i quali, non da sangue</w:t>
      </w:r>
      <w:r w:rsidRPr="00E05DB8">
        <w:rPr>
          <w:rFonts w:ascii="Book Antiqua" w:eastAsia="Times New Roman" w:hAnsi="Book Antiqua" w:cs="Times New Roman"/>
          <w:color w:val="800000"/>
          <w:sz w:val="20"/>
          <w:szCs w:val="20"/>
          <w:lang w:eastAsia="it-IT"/>
        </w:rPr>
        <w:br/>
        <w:t>né da volere di carne né da volere di uomo, ma da Dio sono stati generati.</w:t>
      </w:r>
    </w:p>
    <w:p w:rsidR="00574DA5" w:rsidRPr="00E05DB8" w:rsidRDefault="00574DA5" w:rsidP="00574DA5">
      <w:pPr>
        <w:spacing w:after="0" w:line="240" w:lineRule="auto"/>
        <w:ind w:right="150"/>
        <w:rPr>
          <w:rFonts w:ascii="Times New Roman" w:eastAsia="Times New Roman" w:hAnsi="Times New Roman" w:cs="Times New Roman"/>
          <w:color w:val="000000"/>
          <w:sz w:val="20"/>
          <w:szCs w:val="20"/>
          <w:lang w:eastAsia="it-IT"/>
        </w:rPr>
      </w:pPr>
      <w:r w:rsidRPr="00E05DB8">
        <w:rPr>
          <w:rFonts w:ascii="Book Antiqua" w:eastAsia="Times New Roman" w:hAnsi="Book Antiqua" w:cs="Times New Roman"/>
          <w:color w:val="800000"/>
          <w:sz w:val="20"/>
          <w:szCs w:val="20"/>
          <w:lang w:eastAsia="it-IT"/>
        </w:rPr>
        <w:t>E il Verbo si fece carne e venne ad abitare in mezzo a noi;</w:t>
      </w:r>
      <w:r w:rsidRPr="00E05DB8">
        <w:rPr>
          <w:rFonts w:ascii="Book Antiqua" w:eastAsia="Times New Roman" w:hAnsi="Book Antiqua" w:cs="Times New Roman"/>
          <w:color w:val="800000"/>
          <w:sz w:val="20"/>
          <w:szCs w:val="20"/>
          <w:lang w:eastAsia="it-IT"/>
        </w:rPr>
        <w:br/>
        <w:t>e noi abbiamo contemplato la sua gloria,</w:t>
      </w:r>
      <w:r w:rsidRPr="00E05DB8">
        <w:rPr>
          <w:rFonts w:ascii="Book Antiqua" w:eastAsia="Times New Roman" w:hAnsi="Book Antiqua" w:cs="Times New Roman"/>
          <w:color w:val="800000"/>
          <w:sz w:val="20"/>
          <w:szCs w:val="20"/>
          <w:lang w:eastAsia="it-IT"/>
        </w:rPr>
        <w:br/>
        <w:t>gloria come del Figlio unigenito che viene dal Padre, pieno di grazia e di verità</w:t>
      </w:r>
      <w:proofErr w:type="gramStart"/>
      <w:r w:rsidRPr="00E05DB8">
        <w:rPr>
          <w:rFonts w:ascii="Book Antiqua" w:eastAsia="Times New Roman" w:hAnsi="Book Antiqua" w:cs="Times New Roman"/>
          <w:color w:val="800000"/>
          <w:sz w:val="20"/>
          <w:szCs w:val="20"/>
          <w:lang w:eastAsia="it-IT"/>
        </w:rPr>
        <w:t>. </w:t>
      </w:r>
      <w:r w:rsidRPr="00E05DB8">
        <w:rPr>
          <w:rFonts w:ascii="Book Antiqua" w:eastAsia="Times New Roman" w:hAnsi="Book Antiqua" w:cs="Times New Roman"/>
          <w:b/>
          <w:bCs/>
          <w:color w:val="FF0000"/>
          <w:sz w:val="20"/>
          <w:szCs w:val="20"/>
          <w:lang w:eastAsia="it-IT"/>
        </w:rPr>
        <w:t>]</w:t>
      </w:r>
      <w:proofErr w:type="gramEnd"/>
    </w:p>
    <w:p w:rsidR="00574DA5" w:rsidRPr="00E05DB8" w:rsidRDefault="00574DA5" w:rsidP="00574DA5">
      <w:pPr>
        <w:spacing w:after="0" w:line="240" w:lineRule="auto"/>
        <w:ind w:right="150"/>
        <w:rPr>
          <w:rFonts w:ascii="Book Antiqua" w:eastAsia="Times New Roman" w:hAnsi="Book Antiqua" w:cs="Times New Roman"/>
          <w:color w:val="800000"/>
          <w:sz w:val="20"/>
          <w:szCs w:val="20"/>
          <w:lang w:eastAsia="it-IT"/>
        </w:rPr>
      </w:pPr>
      <w:r w:rsidRPr="00E05DB8">
        <w:rPr>
          <w:rFonts w:ascii="Book Antiqua" w:eastAsia="Times New Roman" w:hAnsi="Book Antiqua" w:cs="Times New Roman"/>
          <w:color w:val="800000"/>
          <w:sz w:val="20"/>
          <w:szCs w:val="20"/>
          <w:lang w:eastAsia="it-IT"/>
        </w:rPr>
        <w:t>Giovanni gli dà testimonianza e proclama:</w:t>
      </w:r>
      <w:r w:rsidRPr="00E05DB8">
        <w:rPr>
          <w:rFonts w:ascii="Book Antiqua" w:eastAsia="Times New Roman" w:hAnsi="Book Antiqua" w:cs="Times New Roman"/>
          <w:color w:val="800000"/>
          <w:sz w:val="20"/>
          <w:szCs w:val="20"/>
          <w:lang w:eastAsia="it-IT"/>
        </w:rPr>
        <w:br/>
        <w:t>«Era di lui che io dissi: Colui che viene dopo di me è avanti a me, perché era prima di me».</w:t>
      </w:r>
    </w:p>
    <w:p w:rsidR="00574DA5" w:rsidRPr="00E05DB8" w:rsidRDefault="00574DA5" w:rsidP="00574DA5">
      <w:pPr>
        <w:spacing w:after="0" w:line="240" w:lineRule="auto"/>
        <w:ind w:right="150"/>
        <w:rPr>
          <w:rFonts w:ascii="Times New Roman" w:eastAsia="Times New Roman" w:hAnsi="Times New Roman" w:cs="Times New Roman"/>
          <w:color w:val="000000"/>
          <w:sz w:val="20"/>
          <w:szCs w:val="20"/>
          <w:lang w:eastAsia="it-IT"/>
        </w:rPr>
      </w:pPr>
      <w:r w:rsidRPr="00E05DB8">
        <w:rPr>
          <w:rFonts w:ascii="Book Antiqua" w:eastAsia="Times New Roman" w:hAnsi="Book Antiqua" w:cs="Times New Roman"/>
          <w:color w:val="800000"/>
          <w:sz w:val="20"/>
          <w:szCs w:val="20"/>
          <w:lang w:eastAsia="it-IT"/>
        </w:rPr>
        <w:t>Dalla sua pienezza noi tutti abbiamo ricevuto: grazia su grazia.  </w:t>
      </w:r>
      <w:r w:rsidRPr="00E05DB8">
        <w:rPr>
          <w:rFonts w:ascii="Book Antiqua" w:eastAsia="Times New Roman" w:hAnsi="Book Antiqua" w:cs="Times New Roman"/>
          <w:color w:val="800000"/>
          <w:sz w:val="20"/>
          <w:szCs w:val="20"/>
          <w:lang w:eastAsia="it-IT"/>
        </w:rPr>
        <w:br/>
        <w:t>Perché la Legge fu data per mezzo di Mosè,</w:t>
      </w:r>
      <w:r w:rsidRPr="00E05DB8">
        <w:rPr>
          <w:rFonts w:ascii="Book Antiqua" w:eastAsia="Times New Roman" w:hAnsi="Book Antiqua" w:cs="Times New Roman"/>
          <w:color w:val="800000"/>
          <w:sz w:val="20"/>
          <w:szCs w:val="20"/>
          <w:lang w:eastAsia="it-IT"/>
        </w:rPr>
        <w:br/>
        <w:t>la grazia e la verità vennero per mezzo di Gesù Cristo.</w:t>
      </w:r>
      <w:r w:rsidRPr="00E05DB8">
        <w:rPr>
          <w:rFonts w:ascii="Book Antiqua" w:eastAsia="Times New Roman" w:hAnsi="Book Antiqua" w:cs="Times New Roman"/>
          <w:color w:val="800000"/>
          <w:sz w:val="20"/>
          <w:szCs w:val="20"/>
          <w:lang w:eastAsia="it-IT"/>
        </w:rPr>
        <w:br/>
        <w:t>Dio, nessuno lo ha mai visto: il Figlio unigenito, che è Dio</w:t>
      </w:r>
      <w:r w:rsidRPr="00E05DB8">
        <w:rPr>
          <w:rFonts w:ascii="Book Antiqua" w:eastAsia="Times New Roman" w:hAnsi="Book Antiqua" w:cs="Times New Roman"/>
          <w:color w:val="800000"/>
          <w:sz w:val="20"/>
          <w:szCs w:val="20"/>
          <w:lang w:eastAsia="it-IT"/>
        </w:rPr>
        <w:br/>
        <w:t>ed è nel seno del Padre, è lui che lo ha rivelato.</w:t>
      </w:r>
    </w:p>
    <w:p w:rsidR="00574DA5" w:rsidRDefault="00574DA5" w:rsidP="00574DA5">
      <w:pPr>
        <w:spacing w:after="120"/>
        <w:jc w:val="both"/>
        <w:rPr>
          <w:b/>
          <w:bCs/>
        </w:rPr>
      </w:pPr>
    </w:p>
    <w:p w:rsidR="00574DA5" w:rsidRPr="00E05DB8" w:rsidRDefault="00574DA5" w:rsidP="00574DA5">
      <w:pPr>
        <w:spacing w:after="120"/>
        <w:rPr>
          <w:rFonts w:ascii="Calibri" w:hAnsi="Calibri" w:cs="Calibri"/>
          <w:iCs/>
        </w:rPr>
      </w:pPr>
      <w:r>
        <w:rPr>
          <w:rFonts w:ascii="Calibri" w:hAnsi="Calibri" w:cs="Calibri"/>
          <w:iCs/>
        </w:rPr>
        <w:t>Un inno che celebra Cristo, parlando di eternità: egli infatti è il Figlio unigenito. Cristo però rivela il mistero di questa filiazione divina non in termini astratti, ma vivendolo nella sua condizione umana sempre “rivolto verso Dio”. Infatti nella vita umana di Gesù appare in trasparenza la vita stessa del Verbo, da sempre tutta orientata a Dio (</w:t>
      </w:r>
      <w:proofErr w:type="spellStart"/>
      <w:r>
        <w:rPr>
          <w:rFonts w:ascii="Calibri" w:hAnsi="Calibri" w:cs="Calibri"/>
          <w:iCs/>
        </w:rPr>
        <w:t>vv</w:t>
      </w:r>
      <w:proofErr w:type="spellEnd"/>
      <w:r>
        <w:rPr>
          <w:rFonts w:ascii="Calibri" w:hAnsi="Calibri" w:cs="Calibri"/>
          <w:iCs/>
        </w:rPr>
        <w:t xml:space="preserve">. 1.18). Perciò il Gesù terreno, Verbo incarnato, è l’immagine reale, l’epifania, del Verbo eterno, che vive la relazione al Padre “in pienezza di grazia e verità”. </w:t>
      </w:r>
      <w:proofErr w:type="gramStart"/>
      <w:r>
        <w:rPr>
          <w:rFonts w:ascii="Calibri" w:hAnsi="Calibri" w:cs="Calibri"/>
          <w:iCs/>
        </w:rPr>
        <w:t>E’</w:t>
      </w:r>
      <w:proofErr w:type="gramEnd"/>
      <w:r>
        <w:rPr>
          <w:rFonts w:ascii="Calibri" w:hAnsi="Calibri" w:cs="Calibri"/>
          <w:iCs/>
        </w:rPr>
        <w:t xml:space="preserve"> questa relazione unica che rende unica e definitiva la sua rivelazione. Creazione, elezione di Israele, la venuta del Messia, tutto è spiegato dal fatto che fin dal principio il Verbo era rivolto verso Dio e dopo essersi fatto carne a lui ritorna, conducendo con sé anche coloro che credono in lui. La storia umana si palesa come luogo di salvezza in cui la parabola del Verbo che discende dall’alto e nel seno del Padre ritorna, si manifesta come luce che vince le tenebre e come vita che sconfigge la morte: “dalla sua pienezza noi tutti abbiamo ricevuto grazia su grazia”.</w:t>
      </w:r>
    </w:p>
    <w:p w:rsidR="00574DA5" w:rsidRPr="00E05DB8" w:rsidRDefault="00574DA5" w:rsidP="00574DA5">
      <w:pPr>
        <w:pBdr>
          <w:top w:val="single" w:sz="4" w:space="1" w:color="auto"/>
          <w:left w:val="single" w:sz="4" w:space="4" w:color="auto"/>
          <w:bottom w:val="single" w:sz="4" w:space="1" w:color="auto"/>
          <w:right w:val="single" w:sz="4" w:space="4" w:color="auto"/>
        </w:pBdr>
        <w:spacing w:after="240"/>
        <w:jc w:val="both"/>
        <w:rPr>
          <w:i/>
        </w:rPr>
      </w:pPr>
      <w:r>
        <w:rPr>
          <w:i/>
        </w:rPr>
        <w:t>Il Natale non va archiviato in fretta… ma ci impegna alla contemplazione della centralità di Cristo Gesù nella nostra vita personale, e comunitaria. Cosa la favorisce e cosa la ostacola?</w:t>
      </w:r>
    </w:p>
    <w:p w:rsidR="00574DA5" w:rsidRPr="00E05DB8" w:rsidRDefault="00574DA5" w:rsidP="00574DA5">
      <w:pPr>
        <w:spacing w:after="120"/>
        <w:rPr>
          <w:rFonts w:ascii="Book Antiqua" w:hAnsi="Book Antiqua"/>
          <w:color w:val="800000"/>
        </w:rPr>
      </w:pPr>
      <w:r w:rsidRPr="00E05DB8">
        <w:rPr>
          <w:rFonts w:ascii="Book Antiqua" w:hAnsi="Book Antiqua"/>
          <w:color w:val="800000"/>
        </w:rPr>
        <w:t>Padre di eterna gloria, che nel tuo unico Figlio ci hai scelti e amati prima della creazione del mondo e in lui, sapienza incarnata, sei venuto a piantare in mezzo a noi la tua tenda, illuminaci con il tuo Spirito, perché accogliendo il mistero del tuo amore, pregustiamo la gioia che ci attende, come figli ed eredi del regno. Per il nostro Signore Gesù Cristo, ......</w:t>
      </w:r>
    </w:p>
    <w:p w:rsidR="000E1573" w:rsidRPr="00574DA5" w:rsidRDefault="00574DA5" w:rsidP="00574DA5"/>
    <w:sectPr w:rsidR="000E1573" w:rsidRPr="00574DA5" w:rsidSect="007D7FE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www.maranatha.it/images/crs4.jpg" style="width:11.5pt;height:8.85pt;visibility:visible;mso-wrap-style:square" o:bullet="t">
        <v:imagedata r:id="rId1" o:title="crs4"/>
      </v:shape>
    </w:pict>
  </w:numPicBullet>
  <w:abstractNum w:abstractNumId="0" w15:restartNumberingAfterBreak="0">
    <w:nsid w:val="5CF31A13"/>
    <w:multiLevelType w:val="hybridMultilevel"/>
    <w:tmpl w:val="E14E21F6"/>
    <w:lvl w:ilvl="0" w:tplc="4B30ED52">
      <w:start w:val="1"/>
      <w:numFmt w:val="bullet"/>
      <w:lvlText w:val=""/>
      <w:lvlPicBulletId w:val="0"/>
      <w:lvlJc w:val="left"/>
      <w:pPr>
        <w:tabs>
          <w:tab w:val="num" w:pos="720"/>
        </w:tabs>
        <w:ind w:left="720" w:hanging="360"/>
      </w:pPr>
      <w:rPr>
        <w:rFonts w:ascii="Symbol" w:hAnsi="Symbol" w:hint="default"/>
      </w:rPr>
    </w:lvl>
    <w:lvl w:ilvl="1" w:tplc="1A84C0EE" w:tentative="1">
      <w:start w:val="1"/>
      <w:numFmt w:val="bullet"/>
      <w:lvlText w:val=""/>
      <w:lvlJc w:val="left"/>
      <w:pPr>
        <w:tabs>
          <w:tab w:val="num" w:pos="1440"/>
        </w:tabs>
        <w:ind w:left="1440" w:hanging="360"/>
      </w:pPr>
      <w:rPr>
        <w:rFonts w:ascii="Symbol" w:hAnsi="Symbol" w:hint="default"/>
      </w:rPr>
    </w:lvl>
    <w:lvl w:ilvl="2" w:tplc="F35E193C" w:tentative="1">
      <w:start w:val="1"/>
      <w:numFmt w:val="bullet"/>
      <w:lvlText w:val=""/>
      <w:lvlJc w:val="left"/>
      <w:pPr>
        <w:tabs>
          <w:tab w:val="num" w:pos="2160"/>
        </w:tabs>
        <w:ind w:left="2160" w:hanging="360"/>
      </w:pPr>
      <w:rPr>
        <w:rFonts w:ascii="Symbol" w:hAnsi="Symbol" w:hint="default"/>
      </w:rPr>
    </w:lvl>
    <w:lvl w:ilvl="3" w:tplc="8DE40C58" w:tentative="1">
      <w:start w:val="1"/>
      <w:numFmt w:val="bullet"/>
      <w:lvlText w:val=""/>
      <w:lvlJc w:val="left"/>
      <w:pPr>
        <w:tabs>
          <w:tab w:val="num" w:pos="2880"/>
        </w:tabs>
        <w:ind w:left="2880" w:hanging="360"/>
      </w:pPr>
      <w:rPr>
        <w:rFonts w:ascii="Symbol" w:hAnsi="Symbol" w:hint="default"/>
      </w:rPr>
    </w:lvl>
    <w:lvl w:ilvl="4" w:tplc="EA4ADF54" w:tentative="1">
      <w:start w:val="1"/>
      <w:numFmt w:val="bullet"/>
      <w:lvlText w:val=""/>
      <w:lvlJc w:val="left"/>
      <w:pPr>
        <w:tabs>
          <w:tab w:val="num" w:pos="3600"/>
        </w:tabs>
        <w:ind w:left="3600" w:hanging="360"/>
      </w:pPr>
      <w:rPr>
        <w:rFonts w:ascii="Symbol" w:hAnsi="Symbol" w:hint="default"/>
      </w:rPr>
    </w:lvl>
    <w:lvl w:ilvl="5" w:tplc="3E3AA77C" w:tentative="1">
      <w:start w:val="1"/>
      <w:numFmt w:val="bullet"/>
      <w:lvlText w:val=""/>
      <w:lvlJc w:val="left"/>
      <w:pPr>
        <w:tabs>
          <w:tab w:val="num" w:pos="4320"/>
        </w:tabs>
        <w:ind w:left="4320" w:hanging="360"/>
      </w:pPr>
      <w:rPr>
        <w:rFonts w:ascii="Symbol" w:hAnsi="Symbol" w:hint="default"/>
      </w:rPr>
    </w:lvl>
    <w:lvl w:ilvl="6" w:tplc="BBEE1984" w:tentative="1">
      <w:start w:val="1"/>
      <w:numFmt w:val="bullet"/>
      <w:lvlText w:val=""/>
      <w:lvlJc w:val="left"/>
      <w:pPr>
        <w:tabs>
          <w:tab w:val="num" w:pos="5040"/>
        </w:tabs>
        <w:ind w:left="5040" w:hanging="360"/>
      </w:pPr>
      <w:rPr>
        <w:rFonts w:ascii="Symbol" w:hAnsi="Symbol" w:hint="default"/>
      </w:rPr>
    </w:lvl>
    <w:lvl w:ilvl="7" w:tplc="4B5EB750" w:tentative="1">
      <w:start w:val="1"/>
      <w:numFmt w:val="bullet"/>
      <w:lvlText w:val=""/>
      <w:lvlJc w:val="left"/>
      <w:pPr>
        <w:tabs>
          <w:tab w:val="num" w:pos="5760"/>
        </w:tabs>
        <w:ind w:left="5760" w:hanging="360"/>
      </w:pPr>
      <w:rPr>
        <w:rFonts w:ascii="Symbol" w:hAnsi="Symbol" w:hint="default"/>
      </w:rPr>
    </w:lvl>
    <w:lvl w:ilvl="8" w:tplc="E96A03E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74"/>
    <w:rsid w:val="00560B74"/>
    <w:rsid w:val="00574DA5"/>
    <w:rsid w:val="007D7FE9"/>
    <w:rsid w:val="009A3C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DA21B27-95B3-5E47-84BD-DEA59EFA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0B74"/>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560B74"/>
    <w:rPr>
      <w:i/>
      <w:iCs/>
    </w:rPr>
  </w:style>
  <w:style w:type="paragraph" w:styleId="Paragrafoelenco">
    <w:name w:val="List Paragraph"/>
    <w:basedOn w:val="Normale"/>
    <w:uiPriority w:val="34"/>
    <w:qFormat/>
    <w:rsid w:val="00560B74"/>
    <w:pPr>
      <w:ind w:left="720"/>
      <w:contextualSpacing/>
    </w:pPr>
  </w:style>
  <w:style w:type="paragraph" w:styleId="NormaleWeb">
    <w:name w:val="Normal (Web)"/>
    <w:basedOn w:val="Normale"/>
    <w:uiPriority w:val="99"/>
    <w:semiHidden/>
    <w:unhideWhenUsed/>
    <w:rsid w:val="00574D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Mazzini</dc:creator>
  <cp:keywords/>
  <dc:description/>
  <cp:lastModifiedBy>Paolo Mazzini</cp:lastModifiedBy>
  <cp:revision>2</cp:revision>
  <dcterms:created xsi:type="dcterms:W3CDTF">2020-12-09T14:51:00Z</dcterms:created>
  <dcterms:modified xsi:type="dcterms:W3CDTF">2020-12-09T14:51:00Z</dcterms:modified>
</cp:coreProperties>
</file>